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C5" w:rsidRPr="00D7244C" w:rsidRDefault="001939C5" w:rsidP="001939C5">
      <w:pPr>
        <w:pStyle w:val="Title"/>
        <w:spacing w:line="261" w:lineRule="auto"/>
        <w:ind w:left="1843" w:right="566" w:firstLine="0"/>
        <w:jc w:val="right"/>
        <w:rPr>
          <w:sz w:val="24"/>
          <w:u w:val="none"/>
        </w:rPr>
      </w:pPr>
      <w:r w:rsidRPr="00D7244C">
        <w:rPr>
          <w:sz w:val="24"/>
          <w:u w:val="none"/>
        </w:rPr>
        <w:t>A</w:t>
      </w:r>
      <w:bookmarkStart w:id="0" w:name="_GoBack"/>
      <w:bookmarkEnd w:id="0"/>
      <w:r w:rsidRPr="00D7244C">
        <w:rPr>
          <w:sz w:val="24"/>
          <w:u w:val="none"/>
        </w:rPr>
        <w:t>nnexure A</w:t>
      </w:r>
    </w:p>
    <w:p w:rsidR="00DE393C" w:rsidRPr="006C0D0E" w:rsidRDefault="00DE393C" w:rsidP="0018268F">
      <w:pPr>
        <w:pStyle w:val="Title"/>
        <w:spacing w:line="261" w:lineRule="auto"/>
        <w:ind w:left="1843" w:right="566" w:firstLine="0"/>
      </w:pPr>
      <w:r w:rsidRPr="006C0D0E">
        <w:t>GUIDELINES/CLARIFICATION ON PEAK MARGIN COLLECTION ANDREPORTING</w:t>
      </w:r>
    </w:p>
    <w:p w:rsidR="00592149" w:rsidRDefault="00592149" w:rsidP="001826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592149" w:rsidRPr="00592149" w:rsidRDefault="00592149" w:rsidP="001826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2442C5" w:rsidRDefault="002442C5" w:rsidP="0018268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</w:pPr>
      <w:r w:rsidRPr="002442C5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Wheth</w:t>
      </w:r>
      <w:r w:rsidR="00725CC8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er early pay-in </w:t>
      </w:r>
      <w:r w:rsidR="006A343B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(EPI) </w:t>
      </w:r>
      <w:r w:rsidR="00725CC8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of securities</w:t>
      </w:r>
      <w:r w:rsidR="006A343B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accepted by clearing corporation (CC) </w:t>
      </w:r>
      <w:r w:rsidRPr="002442C5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during the day can be considered as </w:t>
      </w:r>
      <w:r w:rsidR="006C0D0E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upfront/</w:t>
      </w:r>
      <w:r w:rsidRPr="002442C5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peak margin for the said sale transaction?</w:t>
      </w:r>
    </w:p>
    <w:p w:rsidR="002442C5" w:rsidRDefault="002442C5" w:rsidP="0018268F">
      <w:pPr>
        <w:pStyle w:val="ListParagraph"/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</w:pPr>
    </w:p>
    <w:p w:rsidR="002442C5" w:rsidRDefault="002442C5" w:rsidP="0018268F">
      <w:pPr>
        <w:pStyle w:val="ListParagraph"/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  <w:r w:rsidRPr="002442C5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Yes, in respect of sale of shares by a client for which </w:t>
      </w:r>
      <w:r w:rsidR="00284189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EPI </w:t>
      </w: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has been accepted by </w:t>
      </w:r>
      <w:r w:rsidR="006A343B">
        <w:rPr>
          <w:rFonts w:ascii="Cambria" w:eastAsia="Cambria" w:hAnsi="Cambria" w:cs="Cambria"/>
          <w:sz w:val="30"/>
          <w:szCs w:val="30"/>
          <w:lang w:val="en-US" w:eastAsia="en-US" w:bidi="ar-SA"/>
        </w:rPr>
        <w:t>CC</w:t>
      </w:r>
      <w:r w:rsidRPr="002442C5">
        <w:rPr>
          <w:rFonts w:ascii="Cambria" w:eastAsia="Cambria" w:hAnsi="Cambria" w:cs="Cambria"/>
          <w:sz w:val="30"/>
          <w:szCs w:val="30"/>
          <w:lang w:val="en-US" w:eastAsia="en-US" w:bidi="ar-SA"/>
        </w:rPr>
        <w:t>,</w:t>
      </w:r>
      <w:r w:rsidR="00DE393C" w:rsidRPr="002442C5">
        <w:rPr>
          <w:rFonts w:ascii="Cambria" w:eastAsia="Cambria" w:hAnsi="Cambria" w:cs="Cambria"/>
          <w:sz w:val="30"/>
          <w:szCs w:val="30"/>
          <w:lang w:val="en-US" w:eastAsia="en-US" w:bidi="ar-SA"/>
        </w:rPr>
        <w:t> </w:t>
      </w:r>
      <w:r w:rsidR="00D8364E">
        <w:rPr>
          <w:rFonts w:ascii="Cambria" w:eastAsia="Cambria" w:hAnsi="Cambria" w:cs="Cambria"/>
          <w:sz w:val="30"/>
          <w:szCs w:val="30"/>
          <w:lang w:val="en-US" w:eastAsia="en-US" w:bidi="ar-SA"/>
        </w:rPr>
        <w:t>the same</w:t>
      </w:r>
      <w:r w:rsidRPr="002442C5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may be considered as </w:t>
      </w:r>
      <w:r w:rsidR="005B0C5D">
        <w:rPr>
          <w:rFonts w:ascii="Cambria" w:eastAsia="Cambria" w:hAnsi="Cambria" w:cs="Cambria"/>
          <w:sz w:val="30"/>
          <w:szCs w:val="30"/>
          <w:lang w:val="en-US" w:eastAsia="en-US" w:bidi="ar-SA"/>
        </w:rPr>
        <w:t>margin collected</w:t>
      </w:r>
      <w:r w:rsidRPr="002442C5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towards </w:t>
      </w:r>
      <w:r w:rsidR="00E52153">
        <w:rPr>
          <w:rFonts w:ascii="Cambria" w:eastAsia="Cambria" w:hAnsi="Cambria" w:cs="Cambria"/>
          <w:sz w:val="30"/>
          <w:szCs w:val="30"/>
          <w:lang w:val="en-US" w:eastAsia="en-US" w:bidi="ar-SA"/>
        </w:rPr>
        <w:t>peak margin for</w:t>
      </w:r>
      <w:r w:rsidR="00DE393C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the said sale transaction.</w:t>
      </w:r>
    </w:p>
    <w:p w:rsidR="00284189" w:rsidRDefault="00284189" w:rsidP="0018268F">
      <w:pPr>
        <w:pStyle w:val="ListParagraph"/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</w:p>
    <w:p w:rsidR="00367501" w:rsidRDefault="00E61B10" w:rsidP="0018268F">
      <w:pPr>
        <w:pStyle w:val="ListParagraph"/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>Clarification</w:t>
      </w:r>
      <w:r w:rsidR="001014A3">
        <w:rPr>
          <w:rFonts w:ascii="Cambria" w:eastAsia="Cambria" w:hAnsi="Cambria" w:cs="Cambria"/>
          <w:sz w:val="30"/>
          <w:szCs w:val="30"/>
          <w:lang w:val="en-US" w:eastAsia="en-US" w:bidi="ar-SA"/>
        </w:rPr>
        <w:t>s</w:t>
      </w:r>
      <w:r w:rsidR="00367501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w</w:t>
      </w:r>
      <w:r w:rsidR="00367501" w:rsidRPr="00725CC8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ith respect to EPI, as mentioned in the 1st bullet point of question no. 03 in Annexure A of the Exchange </w:t>
      </w:r>
      <w:r w:rsidR="00AC2B84">
        <w:rPr>
          <w:rFonts w:ascii="Cambria" w:eastAsia="Cambria" w:hAnsi="Cambria" w:cs="Cambria"/>
          <w:sz w:val="30"/>
          <w:szCs w:val="30"/>
          <w:lang w:val="en-US" w:eastAsia="en-US" w:bidi="ar-SA"/>
        </w:rPr>
        <w:t>notice no 20200731-7</w:t>
      </w:r>
      <w:r w:rsidR="00367501" w:rsidRPr="00725CC8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dated July 31, 2020 has been partially modified as </w:t>
      </w:r>
      <w:r w:rsidR="00367501">
        <w:rPr>
          <w:rFonts w:ascii="Cambria" w:eastAsia="Cambria" w:hAnsi="Cambria" w:cs="Cambria"/>
          <w:sz w:val="30"/>
          <w:szCs w:val="30"/>
          <w:lang w:val="en-US" w:eastAsia="en-US" w:bidi="ar-SA"/>
        </w:rPr>
        <w:t>under:</w:t>
      </w:r>
    </w:p>
    <w:p w:rsidR="006D2D88" w:rsidRDefault="00367501" w:rsidP="0018268F">
      <w:pPr>
        <w:pStyle w:val="ListParagraph"/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>I</w:t>
      </w:r>
      <w:r w:rsidR="00481840" w:rsidRPr="002442C5">
        <w:rPr>
          <w:rFonts w:ascii="Cambria" w:eastAsia="Cambria" w:hAnsi="Cambria" w:cs="Cambria"/>
          <w:sz w:val="30"/>
          <w:szCs w:val="30"/>
          <w:lang w:val="en-US" w:eastAsia="en-US" w:bidi="ar-SA"/>
        </w:rPr>
        <w:t>n respect of sale of shares by a client for which early</w:t>
      </w:r>
      <w:r w:rsidR="00481840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pay-in (EPI) has been accepted by CC</w:t>
      </w:r>
      <w:r w:rsidR="00481840" w:rsidRPr="00481840">
        <w:rPr>
          <w:rFonts w:ascii="Cambria" w:eastAsia="Cambria" w:hAnsi="Cambria" w:cs="Cambria"/>
          <w:sz w:val="30"/>
          <w:szCs w:val="30"/>
          <w:lang w:val="en-US" w:eastAsia="en-US" w:bidi="ar-SA"/>
        </w:rPr>
        <w:t>and credit entry is posted of the sale value of the shares in the ledger account of the client</w:t>
      </w:r>
      <w:r w:rsidR="00481840" w:rsidRPr="002442C5">
        <w:rPr>
          <w:rFonts w:ascii="Cambria" w:eastAsia="Cambria" w:hAnsi="Cambria" w:cs="Cambria"/>
          <w:sz w:val="30"/>
          <w:szCs w:val="30"/>
          <w:lang w:val="en-US" w:eastAsia="en-US" w:bidi="ar-SA"/>
        </w:rPr>
        <w:t>,</w:t>
      </w:r>
      <w:r w:rsidR="00284189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EPI value may be </w:t>
      </w:r>
      <w:r w:rsidR="00284189" w:rsidRPr="002442C5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considered as margin </w:t>
      </w:r>
      <w:r w:rsidR="005B0C5D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collected </w:t>
      </w:r>
      <w:r w:rsidR="00284189" w:rsidRPr="002442C5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towards </w:t>
      </w:r>
      <w:r w:rsidR="00284189">
        <w:rPr>
          <w:rFonts w:ascii="Cambria" w:eastAsia="Cambria" w:hAnsi="Cambria" w:cs="Cambria"/>
          <w:sz w:val="30"/>
          <w:szCs w:val="30"/>
          <w:lang w:val="en-US" w:eastAsia="en-US" w:bidi="ar-SA"/>
        </w:rPr>
        <w:t>subsequent margin requirement of the client.</w:t>
      </w:r>
    </w:p>
    <w:p w:rsidR="00284189" w:rsidRDefault="003175E3" w:rsidP="0018268F">
      <w:pPr>
        <w:pStyle w:val="ListParagraph"/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However, </w:t>
      </w:r>
      <w:r w:rsidRPr="003175E3">
        <w:rPr>
          <w:rFonts w:ascii="Cambria" w:eastAsia="Cambria" w:hAnsi="Cambria" w:cs="Cambria"/>
          <w:sz w:val="30"/>
          <w:szCs w:val="30"/>
          <w:lang w:val="en-US" w:eastAsia="en-US" w:bidi="ar-SA"/>
        </w:rPr>
        <w:t>the sale value of such securities</w:t>
      </w: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(EPI value)</w:t>
      </w:r>
      <w:r w:rsidRPr="003175E3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, as reduced by value of the </w:t>
      </w: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>20% upfront Margin</w:t>
      </w:r>
      <w:r w:rsidR="00E52153">
        <w:rPr>
          <w:rFonts w:ascii="Cambria" w:eastAsia="Cambria" w:hAnsi="Cambria" w:cs="Cambria"/>
          <w:sz w:val="30"/>
          <w:szCs w:val="30"/>
          <w:lang w:val="en-US" w:eastAsia="en-US" w:bidi="ar-SA"/>
        </w:rPr>
        <w:t>,</w:t>
      </w: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shall be available as Margin</w:t>
      </w:r>
      <w:r w:rsidRPr="003175E3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for other positions across all the segments</w:t>
      </w: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>. Illustration is mentioned below:</w:t>
      </w:r>
    </w:p>
    <w:p w:rsidR="003175E3" w:rsidRDefault="003175E3" w:rsidP="0018268F">
      <w:pPr>
        <w:pStyle w:val="ListParagraph"/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1697"/>
        <w:gridCol w:w="1959"/>
        <w:gridCol w:w="1819"/>
        <w:gridCol w:w="1187"/>
        <w:gridCol w:w="2517"/>
      </w:tblGrid>
      <w:tr w:rsidR="003175E3" w:rsidTr="004D792C">
        <w:tc>
          <w:tcPr>
            <w:tcW w:w="1697" w:type="dxa"/>
          </w:tcPr>
          <w:p w:rsidR="003175E3" w:rsidRPr="003175E3" w:rsidRDefault="003175E3" w:rsidP="004D792C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b/>
                <w:sz w:val="30"/>
                <w:szCs w:val="30"/>
                <w:lang w:val="en-US" w:eastAsia="en-US" w:bidi="ar-SA"/>
              </w:rPr>
            </w:pPr>
            <w:r w:rsidRPr="003175E3">
              <w:rPr>
                <w:rFonts w:ascii="Cambria" w:eastAsia="Cambria" w:hAnsi="Cambria" w:cs="Cambria"/>
                <w:b/>
                <w:sz w:val="30"/>
                <w:szCs w:val="30"/>
                <w:lang w:val="en-US" w:eastAsia="en-US" w:bidi="ar-SA"/>
              </w:rPr>
              <w:t>Day</w:t>
            </w:r>
          </w:p>
        </w:tc>
        <w:tc>
          <w:tcPr>
            <w:tcW w:w="1959" w:type="dxa"/>
          </w:tcPr>
          <w:p w:rsidR="003175E3" w:rsidRPr="003175E3" w:rsidRDefault="003175E3" w:rsidP="004D792C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b/>
                <w:sz w:val="30"/>
                <w:szCs w:val="30"/>
                <w:lang w:val="en-US" w:eastAsia="en-US" w:bidi="ar-SA"/>
              </w:rPr>
            </w:pPr>
            <w:r w:rsidRPr="003175E3">
              <w:rPr>
                <w:rFonts w:ascii="Cambria" w:eastAsia="Cambria" w:hAnsi="Cambria" w:cs="Cambria"/>
                <w:b/>
                <w:sz w:val="30"/>
                <w:szCs w:val="30"/>
                <w:lang w:val="en-US" w:eastAsia="en-US" w:bidi="ar-SA"/>
              </w:rPr>
              <w:t>Transaction</w:t>
            </w:r>
          </w:p>
        </w:tc>
        <w:tc>
          <w:tcPr>
            <w:tcW w:w="1819" w:type="dxa"/>
          </w:tcPr>
          <w:p w:rsidR="003175E3" w:rsidRPr="003175E3" w:rsidRDefault="003175E3" w:rsidP="004D792C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b/>
                <w:sz w:val="30"/>
                <w:szCs w:val="30"/>
                <w:lang w:val="en-US" w:eastAsia="en-US" w:bidi="ar-SA"/>
              </w:rPr>
            </w:pPr>
            <w:r w:rsidRPr="003175E3">
              <w:rPr>
                <w:rFonts w:ascii="Cambria" w:eastAsia="Cambria" w:hAnsi="Cambria" w:cs="Cambria"/>
                <w:b/>
                <w:sz w:val="30"/>
                <w:szCs w:val="30"/>
                <w:lang w:val="en-US" w:eastAsia="en-US" w:bidi="ar-SA"/>
              </w:rPr>
              <w:t>Scrip</w:t>
            </w:r>
          </w:p>
        </w:tc>
        <w:tc>
          <w:tcPr>
            <w:tcW w:w="1187" w:type="dxa"/>
          </w:tcPr>
          <w:p w:rsidR="003175E3" w:rsidRPr="003175E3" w:rsidRDefault="003175E3" w:rsidP="004D792C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b/>
                <w:sz w:val="30"/>
                <w:szCs w:val="30"/>
                <w:lang w:val="en-US" w:eastAsia="en-US" w:bidi="ar-SA"/>
              </w:rPr>
            </w:pPr>
            <w:r w:rsidRPr="003175E3">
              <w:rPr>
                <w:rFonts w:ascii="Cambria" w:eastAsia="Cambria" w:hAnsi="Cambria" w:cs="Cambria"/>
                <w:b/>
                <w:sz w:val="30"/>
                <w:szCs w:val="30"/>
                <w:lang w:val="en-US" w:eastAsia="en-US" w:bidi="ar-SA"/>
              </w:rPr>
              <w:t>Value</w:t>
            </w:r>
          </w:p>
        </w:tc>
        <w:tc>
          <w:tcPr>
            <w:tcW w:w="2517" w:type="dxa"/>
          </w:tcPr>
          <w:p w:rsidR="003175E3" w:rsidRPr="003175E3" w:rsidRDefault="003175E3" w:rsidP="004D792C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b/>
                <w:sz w:val="30"/>
                <w:szCs w:val="30"/>
                <w:lang w:val="en-US" w:eastAsia="en-US" w:bidi="ar-SA"/>
              </w:rPr>
            </w:pPr>
            <w:r w:rsidRPr="003175E3">
              <w:rPr>
                <w:rFonts w:ascii="Cambria" w:eastAsia="Cambria" w:hAnsi="Cambria" w:cs="Cambria"/>
                <w:b/>
                <w:sz w:val="30"/>
                <w:szCs w:val="30"/>
                <w:lang w:val="en-US" w:eastAsia="en-US" w:bidi="ar-SA"/>
              </w:rPr>
              <w:t>Upfront Margin</w:t>
            </w:r>
          </w:p>
        </w:tc>
      </w:tr>
      <w:tr w:rsidR="003175E3" w:rsidTr="004D792C">
        <w:tc>
          <w:tcPr>
            <w:tcW w:w="1697" w:type="dxa"/>
          </w:tcPr>
          <w:p w:rsidR="003175E3" w:rsidRDefault="003175E3" w:rsidP="004D792C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</w:pPr>
            <w:r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  <w:t>T day</w:t>
            </w:r>
          </w:p>
        </w:tc>
        <w:tc>
          <w:tcPr>
            <w:tcW w:w="1959" w:type="dxa"/>
          </w:tcPr>
          <w:p w:rsidR="003175E3" w:rsidRDefault="003175E3" w:rsidP="004D792C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</w:pPr>
            <w:r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  <w:t>Sell</w:t>
            </w:r>
          </w:p>
        </w:tc>
        <w:tc>
          <w:tcPr>
            <w:tcW w:w="1819" w:type="dxa"/>
          </w:tcPr>
          <w:p w:rsidR="003175E3" w:rsidRDefault="003175E3" w:rsidP="004D792C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</w:pPr>
            <w:r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  <w:t>ABC Ltd.</w:t>
            </w:r>
          </w:p>
        </w:tc>
        <w:tc>
          <w:tcPr>
            <w:tcW w:w="1187" w:type="dxa"/>
          </w:tcPr>
          <w:p w:rsidR="003175E3" w:rsidRDefault="003175E3" w:rsidP="004D792C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</w:pPr>
            <w:r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2517" w:type="dxa"/>
          </w:tcPr>
          <w:p w:rsidR="003175E3" w:rsidRDefault="003175E3" w:rsidP="004D792C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</w:pPr>
            <w:r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  <w:t>20</w:t>
            </w:r>
          </w:p>
        </w:tc>
      </w:tr>
      <w:tr w:rsidR="003175E3" w:rsidTr="004D792C">
        <w:tc>
          <w:tcPr>
            <w:tcW w:w="9179" w:type="dxa"/>
            <w:gridSpan w:val="5"/>
          </w:tcPr>
          <w:p w:rsidR="003175E3" w:rsidRPr="003175E3" w:rsidRDefault="003175E3" w:rsidP="0018268F">
            <w:pPr>
              <w:pStyle w:val="Default"/>
              <w:jc w:val="both"/>
              <w:rPr>
                <w:sz w:val="30"/>
                <w:szCs w:val="30"/>
              </w:rPr>
            </w:pPr>
            <w:r w:rsidRPr="003175E3">
              <w:rPr>
                <w:rFonts w:ascii="Cambria" w:eastAsia="Cambria" w:hAnsi="Cambria" w:cs="Cambria"/>
                <w:color w:val="auto"/>
                <w:sz w:val="30"/>
                <w:szCs w:val="30"/>
                <w:lang w:val="en-US" w:eastAsia="en-US" w:bidi="ar-SA"/>
              </w:rPr>
              <w:t xml:space="preserve">Note: In this case, member can </w:t>
            </w:r>
            <w:r>
              <w:rPr>
                <w:rFonts w:ascii="Cambria" w:eastAsia="Cambria" w:hAnsi="Cambria" w:cs="Cambria"/>
                <w:color w:val="auto"/>
                <w:sz w:val="30"/>
                <w:szCs w:val="30"/>
                <w:lang w:val="en-US" w:eastAsia="en-US" w:bidi="ar-SA"/>
              </w:rPr>
              <w:t>utilize, maximum,</w:t>
            </w:r>
            <w:r w:rsidRPr="003175E3">
              <w:rPr>
                <w:rFonts w:ascii="Cambria" w:eastAsia="Cambria" w:hAnsi="Cambria" w:cs="Cambria"/>
                <w:color w:val="auto"/>
                <w:sz w:val="30"/>
                <w:szCs w:val="30"/>
                <w:lang w:val="en-US" w:eastAsia="en-US" w:bidi="ar-SA"/>
              </w:rPr>
              <w:t xml:space="preserve"> 80 (100-20) as margin </w:t>
            </w:r>
            <w:r w:rsidRPr="002442C5">
              <w:rPr>
                <w:rFonts w:ascii="Cambria" w:eastAsia="Cambria" w:hAnsi="Cambria" w:cs="Cambria"/>
                <w:color w:val="auto"/>
                <w:sz w:val="30"/>
                <w:szCs w:val="30"/>
                <w:lang w:val="en-US" w:eastAsia="en-US" w:bidi="ar-SA"/>
              </w:rPr>
              <w:t xml:space="preserve">towards </w:t>
            </w:r>
            <w:r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  <w:t>subsequent margin requirement</w:t>
            </w:r>
            <w:r w:rsidRPr="003175E3">
              <w:rPr>
                <w:rFonts w:ascii="Cambria" w:eastAsia="Cambria" w:hAnsi="Cambria" w:cs="Cambria"/>
                <w:color w:val="auto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3175E3" w:rsidRDefault="003175E3" w:rsidP="0018268F">
      <w:pPr>
        <w:pStyle w:val="ListParagraph"/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</w:p>
    <w:p w:rsidR="00725CC8" w:rsidRDefault="00725CC8" w:rsidP="00725CC8">
      <w:pPr>
        <w:pStyle w:val="ListParagraph"/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</w:p>
    <w:p w:rsidR="00DE393C" w:rsidRPr="009E491E" w:rsidRDefault="009E491E" w:rsidP="0018268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</w:pPr>
      <w:r w:rsidRPr="009E491E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Is </w:t>
      </w:r>
      <w:r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upfront/peak</w:t>
      </w:r>
      <w:r w:rsidRPr="009E491E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 margin collection required to be done in respect of clients who have done early pay-in of securities to </w:t>
      </w:r>
      <w:r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pool account of </w:t>
      </w:r>
      <w:r w:rsidRPr="009E491E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Trading member/s?</w:t>
      </w:r>
    </w:p>
    <w:p w:rsidR="002442C5" w:rsidRPr="009E491E" w:rsidRDefault="002442C5" w:rsidP="0018268F">
      <w:pPr>
        <w:shd w:val="clear" w:color="auto" w:fill="FFFFFF"/>
        <w:spacing w:after="0" w:line="240" w:lineRule="auto"/>
        <w:ind w:left="720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</w:p>
    <w:p w:rsidR="00284189" w:rsidRDefault="009E491E" w:rsidP="0018268F">
      <w:pPr>
        <w:pStyle w:val="ListParagraph"/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  <w:r w:rsidRPr="009E491E">
        <w:rPr>
          <w:rFonts w:ascii="Cambria" w:eastAsia="Cambria" w:hAnsi="Cambria" w:cs="Cambria"/>
          <w:sz w:val="30"/>
          <w:szCs w:val="30"/>
          <w:lang w:val="en-US" w:eastAsia="en-US" w:bidi="ar-SA"/>
        </w:rPr>
        <w:t>No. Trading Member shall not be required to collect upfront</w:t>
      </w: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>/peak</w:t>
      </w:r>
      <w:r w:rsidRPr="009E491E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margins, in respect of positions for which early pay-in of </w:t>
      </w:r>
      <w:r w:rsidR="00F5275D">
        <w:rPr>
          <w:rFonts w:ascii="Cambria" w:eastAsia="Cambria" w:hAnsi="Cambria" w:cs="Cambria"/>
          <w:sz w:val="30"/>
          <w:szCs w:val="30"/>
          <w:lang w:val="en-US" w:eastAsia="en-US" w:bidi="ar-SA"/>
        </w:rPr>
        <w:t>securities</w:t>
      </w:r>
      <w:r w:rsidRPr="009E491E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is made by the clients </w:t>
      </w: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in pool account of </w:t>
      </w:r>
      <w:r w:rsidRPr="009E491E">
        <w:rPr>
          <w:rFonts w:ascii="Cambria" w:eastAsia="Cambria" w:hAnsi="Cambria" w:cs="Cambria"/>
          <w:sz w:val="30"/>
          <w:szCs w:val="30"/>
          <w:lang w:val="en-US" w:eastAsia="en-US" w:bidi="ar-SA"/>
        </w:rPr>
        <w:t>the trading member on the date of execution of the transaction.</w:t>
      </w:r>
    </w:p>
    <w:p w:rsidR="006C0D0E" w:rsidRDefault="006C0D0E" w:rsidP="0018268F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</w:pPr>
    </w:p>
    <w:p w:rsidR="00DE393C" w:rsidRPr="006C0D0E" w:rsidRDefault="006C0D0E" w:rsidP="0018268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</w:pPr>
      <w:r w:rsidRPr="006C0D0E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lastRenderedPageBreak/>
        <w:t xml:space="preserve">Whether </w:t>
      </w:r>
      <w:r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client can square off the position in one segment during the day and use the </w:t>
      </w:r>
      <w:r w:rsidR="00514285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same margin, released due to square off the position, </w:t>
      </w:r>
      <w:r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in different segment</w:t>
      </w:r>
      <w:r w:rsidR="00514285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s</w:t>
      </w:r>
      <w:r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 on same day?</w:t>
      </w:r>
    </w:p>
    <w:p w:rsidR="006C0D0E" w:rsidRDefault="006C0D0E" w:rsidP="00182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6C0D0E" w:rsidRPr="006C0D0E" w:rsidRDefault="00514285" w:rsidP="0018268F">
      <w:pPr>
        <w:shd w:val="clear" w:color="auto" w:fill="FFFFFF"/>
        <w:spacing w:after="0" w:line="240" w:lineRule="auto"/>
        <w:ind w:left="720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Yes. </w:t>
      </w:r>
      <w:r w:rsidR="006C0D0E" w:rsidRPr="006C0D0E">
        <w:rPr>
          <w:rFonts w:ascii="Cambria" w:eastAsia="Cambria" w:hAnsi="Cambria" w:cs="Cambria"/>
          <w:sz w:val="30"/>
          <w:szCs w:val="30"/>
          <w:lang w:val="en-US" w:eastAsia="en-US" w:bidi="ar-SA"/>
        </w:rPr>
        <w:t>Based on the margin availability, member can give exposure in different segment</w:t>
      </w:r>
      <w:r w:rsidR="000E6738">
        <w:rPr>
          <w:rFonts w:ascii="Cambria" w:eastAsia="Cambria" w:hAnsi="Cambria" w:cs="Cambria"/>
          <w:sz w:val="30"/>
          <w:szCs w:val="30"/>
          <w:lang w:val="en-US" w:eastAsia="en-US" w:bidi="ar-SA"/>
        </w:rPr>
        <w:t>s</w:t>
      </w:r>
      <w:r w:rsidR="006C0D0E" w:rsidRPr="006C0D0E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at different time. However, member needs to have proper risk management to ensure that at any point of time maximum exposure </w:t>
      </w:r>
      <w:r w:rsidR="006A343B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given to clients </w:t>
      </w:r>
      <w:r w:rsidR="006C0D0E" w:rsidRPr="006C0D0E">
        <w:rPr>
          <w:rFonts w:ascii="Cambria" w:eastAsia="Cambria" w:hAnsi="Cambria" w:cs="Cambria"/>
          <w:sz w:val="30"/>
          <w:szCs w:val="30"/>
          <w:lang w:val="en-US" w:eastAsia="en-US" w:bidi="ar-SA"/>
        </w:rPr>
        <w:t>across segment</w:t>
      </w:r>
      <w:r w:rsidR="006C0D0E">
        <w:rPr>
          <w:rFonts w:ascii="Cambria" w:eastAsia="Cambria" w:hAnsi="Cambria" w:cs="Cambria"/>
          <w:sz w:val="30"/>
          <w:szCs w:val="30"/>
          <w:lang w:val="en-US" w:eastAsia="en-US" w:bidi="ar-SA"/>
        </w:rPr>
        <w:t>s</w:t>
      </w:r>
      <w:r w:rsidR="00DF4098">
        <w:rPr>
          <w:rFonts w:ascii="Cambria" w:eastAsia="Cambria" w:hAnsi="Cambria" w:cs="Cambria"/>
          <w:sz w:val="30"/>
          <w:szCs w:val="30"/>
          <w:lang w:val="en-US" w:eastAsia="en-US" w:bidi="ar-SA"/>
        </w:rPr>
        <w:t>are</w:t>
      </w:r>
      <w:r w:rsidR="00DF4098" w:rsidRPr="006C0D0E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not exceeding the margins</w:t>
      </w:r>
      <w:r w:rsidR="006C0D0E" w:rsidRPr="006C0D0E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available with the member </w:t>
      </w:r>
      <w:r w:rsidR="006A343B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for such clients. Member shall </w:t>
      </w:r>
      <w:r w:rsidR="006C0D0E" w:rsidRPr="006C0D0E">
        <w:rPr>
          <w:rFonts w:ascii="Cambria" w:eastAsia="Cambria" w:hAnsi="Cambria" w:cs="Cambria"/>
          <w:sz w:val="30"/>
          <w:szCs w:val="30"/>
          <w:lang w:val="en-US" w:eastAsia="en-US" w:bidi="ar-SA"/>
        </w:rPr>
        <w:t>keep trail of all the square off position and exposures</w:t>
      </w:r>
      <w:r w:rsidR="000E6738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during the day</w:t>
      </w:r>
      <w:r w:rsidR="006C0D0E" w:rsidRPr="006C0D0E">
        <w:rPr>
          <w:rFonts w:ascii="Cambria" w:eastAsia="Cambria" w:hAnsi="Cambria" w:cs="Cambria"/>
          <w:sz w:val="30"/>
          <w:szCs w:val="30"/>
          <w:lang w:val="en-US" w:eastAsia="en-US" w:bidi="ar-SA"/>
        </w:rPr>
        <w:t>.</w:t>
      </w:r>
    </w:p>
    <w:p w:rsidR="006C0D0E" w:rsidRDefault="006C0D0E" w:rsidP="00182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18268F" w:rsidRPr="00986DF7" w:rsidRDefault="0018268F" w:rsidP="00986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552F24" w:rsidRPr="00552F24" w:rsidRDefault="00D87427" w:rsidP="0018268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</w:pPr>
      <w:r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H</w:t>
      </w:r>
      <w:r w:rsidRPr="00552F24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ow to collect and report the peak margin on settlement day</w:t>
      </w:r>
      <w:r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 (T+2 day) as p</w:t>
      </w:r>
      <w:r w:rsidR="00552F24" w:rsidRPr="00552F24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eak margin is </w:t>
      </w:r>
      <w:r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captured in the snapshotstaken before respective pay-in on T+2 day</w:t>
      </w:r>
      <w:r w:rsidR="00552F24" w:rsidRPr="00552F24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?</w:t>
      </w:r>
    </w:p>
    <w:p w:rsidR="00552F24" w:rsidRPr="00552F24" w:rsidRDefault="00552F24" w:rsidP="001826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D87427" w:rsidRDefault="005C3E63" w:rsidP="0018268F">
      <w:pPr>
        <w:shd w:val="clear" w:color="auto" w:fill="FFFFFF"/>
        <w:spacing w:after="0" w:line="240" w:lineRule="auto"/>
        <w:ind w:left="720" w:hanging="11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>In case member has</w:t>
      </w:r>
      <w:r w:rsidR="00552F24" w:rsidRPr="00552F24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collected </w:t>
      </w:r>
      <w:r w:rsidR="00D87427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sufficient upfront margin on T day and the same is </w:t>
      </w:r>
      <w:r w:rsidR="00245B48">
        <w:rPr>
          <w:rFonts w:ascii="Cambria" w:eastAsia="Cambria" w:hAnsi="Cambria" w:cs="Cambria"/>
          <w:sz w:val="30"/>
          <w:szCs w:val="30"/>
          <w:lang w:val="en-US" w:eastAsia="en-US" w:bidi="ar-SA"/>
        </w:rPr>
        <w:t>availabl</w:t>
      </w:r>
      <w:r w:rsidR="00245B48" w:rsidRPr="00175941">
        <w:rPr>
          <w:rFonts w:ascii="Cambria" w:eastAsia="Cambria" w:hAnsi="Cambria" w:cs="Cambria"/>
          <w:sz w:val="30"/>
          <w:szCs w:val="30"/>
          <w:lang w:val="en-US" w:eastAsia="en-US" w:bidi="ar-SA"/>
        </w:rPr>
        <w:t>e till pay-in</w:t>
      </w:r>
      <w:r w:rsidR="00175941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day </w:t>
      </w:r>
      <w:r w:rsidR="00071791">
        <w:rPr>
          <w:rFonts w:ascii="Cambria" w:eastAsia="Cambria" w:hAnsi="Cambria" w:cs="Cambria"/>
          <w:sz w:val="30"/>
          <w:szCs w:val="30"/>
          <w:lang w:val="en-US" w:eastAsia="en-US" w:bidi="ar-SA"/>
        </w:rPr>
        <w:t>the same</w:t>
      </w:r>
      <w:r w:rsidR="00245B48" w:rsidRPr="002442C5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may be considered as </w:t>
      </w:r>
      <w:r w:rsidR="005B0C5D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peak margin </w:t>
      </w:r>
      <w:r w:rsidR="009F4066">
        <w:rPr>
          <w:rFonts w:ascii="Cambria" w:eastAsia="Cambria" w:hAnsi="Cambria" w:cs="Cambria"/>
          <w:sz w:val="30"/>
          <w:szCs w:val="30"/>
          <w:lang w:val="en-US" w:eastAsia="en-US" w:bidi="ar-SA"/>
        </w:rPr>
        <w:t>collected</w:t>
      </w:r>
      <w:r w:rsidR="00245B48" w:rsidRPr="002442C5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towards </w:t>
      </w:r>
      <w:r w:rsidR="00245B48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peak </w:t>
      </w:r>
      <w:r w:rsidR="00E61B10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margin </w:t>
      </w:r>
      <w:r w:rsidR="00245B48">
        <w:rPr>
          <w:rFonts w:ascii="Cambria" w:eastAsia="Cambria" w:hAnsi="Cambria" w:cs="Cambria"/>
          <w:sz w:val="30"/>
          <w:szCs w:val="30"/>
          <w:lang w:val="en-US" w:eastAsia="en-US" w:bidi="ar-SA"/>
        </w:rPr>
        <w:t>obligation of the said transaction on settlement day.</w:t>
      </w:r>
    </w:p>
    <w:p w:rsidR="006C0D0E" w:rsidRDefault="006C0D0E" w:rsidP="0018268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18268F" w:rsidRDefault="0018268F" w:rsidP="0018268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552F24" w:rsidRDefault="00552F24" w:rsidP="0018268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</w:pPr>
      <w:r w:rsidRPr="00552F24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After fulfilling the </w:t>
      </w:r>
      <w:r w:rsidR="0018268F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peak margin </w:t>
      </w:r>
      <w:r w:rsidRPr="00552F24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obligation</w:t>
      </w:r>
      <w:r w:rsidR="0018268F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 on T day</w:t>
      </w:r>
      <w:r w:rsidRPr="00552F24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, whether member can release the margin</w:t>
      </w:r>
      <w:r w:rsidR="0018268F"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 xml:space="preserve"> on T day</w:t>
      </w:r>
      <w:r>
        <w:rPr>
          <w:rFonts w:ascii="Cambria" w:eastAsia="Cambria" w:hAnsi="Cambria" w:cs="Cambria"/>
          <w:b/>
          <w:bCs/>
          <w:sz w:val="32"/>
          <w:szCs w:val="32"/>
          <w:lang w:val="en-US" w:eastAsia="en-US" w:bidi="ar-SA"/>
        </w:rPr>
        <w:t>?</w:t>
      </w:r>
    </w:p>
    <w:p w:rsidR="00E53095" w:rsidRPr="00245B48" w:rsidRDefault="00E53095" w:rsidP="0018268F">
      <w:pPr>
        <w:shd w:val="clear" w:color="auto" w:fill="FFFFFF"/>
        <w:spacing w:after="0" w:line="240" w:lineRule="auto"/>
        <w:ind w:left="720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</w:p>
    <w:p w:rsidR="0018268F" w:rsidRDefault="0018268F" w:rsidP="0018268F">
      <w:pPr>
        <w:shd w:val="clear" w:color="auto" w:fill="FFFFFF"/>
        <w:spacing w:after="0" w:line="240" w:lineRule="auto"/>
        <w:ind w:left="720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  <w:r w:rsidRPr="0018268F">
        <w:rPr>
          <w:rFonts w:ascii="Cambria" w:eastAsia="Cambria" w:hAnsi="Cambria" w:cs="Cambria"/>
          <w:sz w:val="30"/>
          <w:szCs w:val="30"/>
          <w:lang w:val="en-US" w:eastAsia="en-US" w:bidi="ar-SA"/>
        </w:rPr>
        <w:t>Applicable upfront margins are required to be collected from the clients in advance of the trade.</w:t>
      </w: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In view of the same, free and u</w:t>
      </w:r>
      <w:r w:rsidRPr="00245B48">
        <w:rPr>
          <w:rFonts w:ascii="Cambria" w:eastAsia="Cambria" w:hAnsi="Cambria" w:cs="Cambria"/>
          <w:sz w:val="30"/>
          <w:szCs w:val="30"/>
          <w:lang w:val="en-US" w:eastAsia="en-US" w:bidi="ar-SA"/>
        </w:rPr>
        <w:t>nencumbered collaterals can be released</w:t>
      </w: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in case </w:t>
      </w:r>
      <w:r w:rsidR="007708CB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peak </w:t>
      </w: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margin obligation </w:t>
      </w:r>
      <w:r w:rsidR="00F34D52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across all segments </w:t>
      </w:r>
      <w:r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is </w:t>
      </w:r>
      <w:r w:rsidR="00DA3A4F">
        <w:rPr>
          <w:rFonts w:ascii="Cambria" w:eastAsia="Cambria" w:hAnsi="Cambria" w:cs="Cambria"/>
          <w:sz w:val="30"/>
          <w:szCs w:val="30"/>
          <w:lang w:val="en-US" w:eastAsia="en-US" w:bidi="ar-SA"/>
        </w:rPr>
        <w:t>fulfilled.</w:t>
      </w:r>
      <w:r w:rsidR="00E23C12">
        <w:rPr>
          <w:rFonts w:ascii="Cambria" w:eastAsia="Cambria" w:hAnsi="Cambria" w:cs="Cambria"/>
          <w:sz w:val="30"/>
          <w:szCs w:val="30"/>
          <w:lang w:val="en-US" w:eastAsia="en-US" w:bidi="ar-SA"/>
        </w:rPr>
        <w:t xml:space="preserve"> Illustration is mentioned below: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1418"/>
        <w:gridCol w:w="6662"/>
      </w:tblGrid>
      <w:tr w:rsidR="007708CB" w:rsidRPr="007708CB" w:rsidTr="005E3C49">
        <w:tc>
          <w:tcPr>
            <w:tcW w:w="992" w:type="dxa"/>
          </w:tcPr>
          <w:p w:rsidR="007708CB" w:rsidRPr="007708CB" w:rsidRDefault="007708CB" w:rsidP="007C7DD5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b/>
                <w:sz w:val="28"/>
                <w:szCs w:val="30"/>
                <w:lang w:val="en-US" w:eastAsia="en-US" w:bidi="ar-SA"/>
              </w:rPr>
            </w:pPr>
            <w:r w:rsidRPr="007708CB">
              <w:rPr>
                <w:rFonts w:ascii="Cambria" w:eastAsia="Cambria" w:hAnsi="Cambria" w:cs="Cambria"/>
                <w:b/>
                <w:sz w:val="28"/>
                <w:szCs w:val="30"/>
                <w:lang w:val="en-US" w:eastAsia="en-US" w:bidi="ar-SA"/>
              </w:rPr>
              <w:t>Day</w:t>
            </w:r>
          </w:p>
        </w:tc>
        <w:tc>
          <w:tcPr>
            <w:tcW w:w="1418" w:type="dxa"/>
          </w:tcPr>
          <w:p w:rsidR="007708CB" w:rsidRPr="007708CB" w:rsidRDefault="007708CB" w:rsidP="007C7DD5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b/>
                <w:sz w:val="28"/>
                <w:szCs w:val="30"/>
                <w:lang w:val="en-US" w:eastAsia="en-US" w:bidi="ar-SA"/>
              </w:rPr>
            </w:pPr>
            <w:r w:rsidRPr="007708CB">
              <w:rPr>
                <w:rFonts w:ascii="Cambria" w:eastAsia="Cambria" w:hAnsi="Cambria" w:cs="Cambria"/>
                <w:b/>
                <w:sz w:val="28"/>
                <w:szCs w:val="30"/>
                <w:lang w:val="en-US" w:eastAsia="en-US" w:bidi="ar-SA"/>
              </w:rPr>
              <w:t>Time</w:t>
            </w:r>
          </w:p>
        </w:tc>
        <w:tc>
          <w:tcPr>
            <w:tcW w:w="6662" w:type="dxa"/>
          </w:tcPr>
          <w:p w:rsidR="007708CB" w:rsidRPr="007708CB" w:rsidRDefault="007708CB" w:rsidP="00E54265">
            <w:pPr>
              <w:pStyle w:val="ListParagraph"/>
              <w:ind w:left="0"/>
              <w:jc w:val="both"/>
              <w:rPr>
                <w:rFonts w:ascii="Cambria" w:eastAsia="Cambria" w:hAnsi="Cambria" w:cs="Cambria"/>
                <w:b/>
                <w:sz w:val="28"/>
                <w:szCs w:val="30"/>
                <w:lang w:val="en-US" w:eastAsia="en-US" w:bidi="ar-SA"/>
              </w:rPr>
            </w:pPr>
            <w:r w:rsidRPr="007708CB">
              <w:rPr>
                <w:rFonts w:ascii="Cambria" w:eastAsia="Cambria" w:hAnsi="Cambria" w:cs="Cambria"/>
                <w:b/>
                <w:sz w:val="28"/>
                <w:szCs w:val="30"/>
                <w:lang w:val="en-US" w:eastAsia="en-US" w:bidi="ar-SA"/>
              </w:rPr>
              <w:t>Particular</w:t>
            </w:r>
            <w:r w:rsidR="007C7DD5">
              <w:rPr>
                <w:rFonts w:ascii="Cambria" w:eastAsia="Cambria" w:hAnsi="Cambria" w:cs="Cambria"/>
                <w:b/>
                <w:sz w:val="28"/>
                <w:szCs w:val="30"/>
                <w:lang w:val="en-US" w:eastAsia="en-US" w:bidi="ar-SA"/>
              </w:rPr>
              <w:t>s</w:t>
            </w:r>
          </w:p>
        </w:tc>
      </w:tr>
      <w:tr w:rsidR="007708CB" w:rsidRPr="007708CB" w:rsidTr="005E3C49">
        <w:tc>
          <w:tcPr>
            <w:tcW w:w="992" w:type="dxa"/>
          </w:tcPr>
          <w:p w:rsidR="007708CB" w:rsidRPr="007708CB" w:rsidRDefault="007708CB" w:rsidP="007C7DD5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T day</w:t>
            </w:r>
          </w:p>
        </w:tc>
        <w:tc>
          <w:tcPr>
            <w:tcW w:w="1418" w:type="dxa"/>
          </w:tcPr>
          <w:p w:rsidR="007708CB" w:rsidRPr="007708CB" w:rsidRDefault="007708CB" w:rsidP="007C7DD5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09.00 AM</w:t>
            </w:r>
          </w:p>
        </w:tc>
        <w:tc>
          <w:tcPr>
            <w:tcW w:w="6662" w:type="dxa"/>
          </w:tcPr>
          <w:p w:rsidR="007708CB" w:rsidRPr="007708CB" w:rsidRDefault="007708CB" w:rsidP="00E54265">
            <w:pPr>
              <w:pStyle w:val="ListParagraph"/>
              <w:ind w:left="0"/>
              <w:jc w:val="both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Margin available Rs. 1,00,000</w:t>
            </w:r>
          </w:p>
        </w:tc>
      </w:tr>
      <w:tr w:rsidR="007708CB" w:rsidRPr="007708CB" w:rsidTr="005E3C49">
        <w:tc>
          <w:tcPr>
            <w:tcW w:w="992" w:type="dxa"/>
          </w:tcPr>
          <w:p w:rsidR="007708CB" w:rsidRPr="007708CB" w:rsidRDefault="007708CB" w:rsidP="007C7DD5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T day</w:t>
            </w:r>
          </w:p>
        </w:tc>
        <w:tc>
          <w:tcPr>
            <w:tcW w:w="1418" w:type="dxa"/>
          </w:tcPr>
          <w:p w:rsidR="007708CB" w:rsidRPr="007708CB" w:rsidRDefault="007708CB" w:rsidP="007C7DD5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10.00 AM</w:t>
            </w:r>
          </w:p>
        </w:tc>
        <w:tc>
          <w:tcPr>
            <w:tcW w:w="6662" w:type="dxa"/>
          </w:tcPr>
          <w:p w:rsidR="007708CB" w:rsidRPr="007708CB" w:rsidRDefault="007708CB" w:rsidP="007708CB">
            <w:pPr>
              <w:pStyle w:val="ListParagraph"/>
              <w:ind w:left="0"/>
              <w:jc w:val="both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 xml:space="preserve">Client took position </w:t>
            </w:r>
            <w:r w:rsidR="00F5275D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 xml:space="preserve">(ABC LTD.) </w:t>
            </w: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 xml:space="preserve">of margin Rs. 1,00,000 </w:t>
            </w:r>
            <w:r w:rsidR="00E52153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 xml:space="preserve">(transaction value Rs. 5,00,000) </w:t>
            </w: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in CM segment</w:t>
            </w:r>
          </w:p>
        </w:tc>
      </w:tr>
      <w:tr w:rsidR="007708CB" w:rsidRPr="007708CB" w:rsidTr="005E3C49">
        <w:tc>
          <w:tcPr>
            <w:tcW w:w="992" w:type="dxa"/>
          </w:tcPr>
          <w:p w:rsidR="007708CB" w:rsidRPr="007708CB" w:rsidRDefault="007708CB" w:rsidP="007C7DD5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T day</w:t>
            </w:r>
          </w:p>
        </w:tc>
        <w:tc>
          <w:tcPr>
            <w:tcW w:w="1418" w:type="dxa"/>
          </w:tcPr>
          <w:p w:rsidR="007708CB" w:rsidRPr="007708CB" w:rsidRDefault="007708CB" w:rsidP="007C7DD5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0</w:t>
            </w:r>
            <w:r w:rsidR="00E52153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3</w:t>
            </w:r>
            <w:r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.00 PM</w:t>
            </w:r>
          </w:p>
        </w:tc>
        <w:tc>
          <w:tcPr>
            <w:tcW w:w="6662" w:type="dxa"/>
          </w:tcPr>
          <w:p w:rsidR="007708CB" w:rsidRPr="007708CB" w:rsidRDefault="007708CB" w:rsidP="007708CB">
            <w:pPr>
              <w:pStyle w:val="ListParagraph"/>
              <w:ind w:left="0"/>
              <w:jc w:val="both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 xml:space="preserve">Client squared up the </w:t>
            </w:r>
            <w:r w:rsidR="000B1281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 xml:space="preserve">same </w:t>
            </w: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 xml:space="preserve">position </w:t>
            </w:r>
            <w:r w:rsidR="00F5275D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 xml:space="preserve">(ABC LTD.) </w:t>
            </w: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 xml:space="preserve">in the </w:t>
            </w:r>
            <w:r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CM</w:t>
            </w:r>
            <w:r w:rsidRPr="007708CB"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 xml:space="preserve"> segment</w:t>
            </w:r>
            <w:r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 xml:space="preserve"> (means no EOD margin)</w:t>
            </w:r>
          </w:p>
        </w:tc>
      </w:tr>
      <w:tr w:rsidR="007708CB" w:rsidRPr="007708CB" w:rsidTr="005E3C49">
        <w:tc>
          <w:tcPr>
            <w:tcW w:w="992" w:type="dxa"/>
          </w:tcPr>
          <w:p w:rsidR="007708CB" w:rsidRPr="007708CB" w:rsidRDefault="007708CB" w:rsidP="007C7DD5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T day</w:t>
            </w:r>
          </w:p>
        </w:tc>
        <w:tc>
          <w:tcPr>
            <w:tcW w:w="1418" w:type="dxa"/>
          </w:tcPr>
          <w:p w:rsidR="007708CB" w:rsidRDefault="007708CB" w:rsidP="007C7DD5">
            <w:pPr>
              <w:pStyle w:val="ListParagraph"/>
              <w:ind w:left="0"/>
              <w:jc w:val="center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  <w:t>04.00 PM</w:t>
            </w:r>
          </w:p>
        </w:tc>
        <w:tc>
          <w:tcPr>
            <w:tcW w:w="6662" w:type="dxa"/>
          </w:tcPr>
          <w:p w:rsidR="007708CB" w:rsidRPr="007708CB" w:rsidRDefault="007708CB" w:rsidP="007708CB">
            <w:pPr>
              <w:pStyle w:val="ListParagraph"/>
              <w:ind w:left="0"/>
              <w:jc w:val="both"/>
              <w:rPr>
                <w:rFonts w:ascii="Cambria" w:eastAsia="Cambria" w:hAnsi="Cambria" w:cs="Cambria"/>
                <w:sz w:val="28"/>
                <w:szCs w:val="30"/>
                <w:lang w:val="en-US" w:eastAsia="en-US" w:bidi="ar-SA"/>
              </w:rPr>
            </w:pPr>
            <w:r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  <w:t>Member can release the free and u</w:t>
            </w:r>
            <w:r w:rsidRPr="00245B48"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  <w:t>nencumbered collaterals</w:t>
            </w:r>
            <w:r>
              <w:rPr>
                <w:rFonts w:ascii="Cambria" w:eastAsia="Cambria" w:hAnsi="Cambria" w:cs="Cambria"/>
                <w:sz w:val="30"/>
                <w:szCs w:val="30"/>
                <w:lang w:val="en-US" w:eastAsia="en-US" w:bidi="ar-SA"/>
              </w:rPr>
              <w:t xml:space="preserve"> (Rs. 1,00,000)</w:t>
            </w:r>
          </w:p>
        </w:tc>
      </w:tr>
    </w:tbl>
    <w:p w:rsidR="00E52153" w:rsidRDefault="00E52153" w:rsidP="00E52153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30"/>
          <w:szCs w:val="30"/>
          <w:lang w:val="en-US" w:eastAsia="en-US" w:bidi="ar-SA"/>
        </w:rPr>
      </w:pPr>
    </w:p>
    <w:sectPr w:rsidR="00E52153" w:rsidSect="00986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90" w:rsidRDefault="00842E90" w:rsidP="00AC2B84">
      <w:pPr>
        <w:spacing w:after="0" w:line="240" w:lineRule="auto"/>
      </w:pPr>
      <w:r>
        <w:separator/>
      </w:r>
    </w:p>
  </w:endnote>
  <w:endnote w:type="continuationSeparator" w:id="0">
    <w:p w:rsidR="00842E90" w:rsidRDefault="00842E90" w:rsidP="00AC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84" w:rsidRDefault="00AC2B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84" w:rsidRDefault="00AC2B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84" w:rsidRDefault="00AC2B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90" w:rsidRDefault="00842E90" w:rsidP="00AC2B84">
      <w:pPr>
        <w:spacing w:after="0" w:line="240" w:lineRule="auto"/>
      </w:pPr>
      <w:r>
        <w:separator/>
      </w:r>
    </w:p>
  </w:footnote>
  <w:footnote w:type="continuationSeparator" w:id="0">
    <w:p w:rsidR="00842E90" w:rsidRDefault="00842E90" w:rsidP="00AC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84" w:rsidRDefault="00AC2B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84" w:rsidRDefault="00CB20C0">
    <w:pPr>
      <w:pStyle w:val="Header"/>
    </w:pPr>
    <w:r w:rsidRPr="00CB20C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expertsource_setting_footer" o:spid="_x0000_s2049" type="#_x0000_t202" style="position:absolute;margin-left:214.75pt;margin-top:776.5pt;width:75pt;height:20pt;z-index:251658240;mso-wrap-style:none" stroked="f">
          <v:textbox style="mso-fit-shape-to-text:t">
            <w:txbxContent>
              <w:p w:rsidR="00AC2B84" w:rsidRPr="00AC2B84" w:rsidRDefault="00AC2B84">
                <w:pPr>
                  <w:rPr>
                    <w:rFonts w:ascii="Arial" w:hAnsi="Arial" w:cs="Arial"/>
                    <w:color w:val="45C745"/>
                    <w:sz w:val="16"/>
                  </w:rPr>
                </w:pPr>
                <w:r w:rsidRPr="00AC2B84">
                  <w:rPr>
                    <w:rFonts w:ascii="Arial" w:hAnsi="Arial" w:cs="Arial"/>
                    <w:color w:val="45C745"/>
                    <w:sz w:val="16"/>
                  </w:rPr>
                  <w:t>BSE - PUBLIC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84" w:rsidRDefault="00AC2B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BB8"/>
    <w:multiLevelType w:val="multilevel"/>
    <w:tmpl w:val="3BE2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23AF0"/>
    <w:multiLevelType w:val="multilevel"/>
    <w:tmpl w:val="AD0C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1341"/>
    <w:multiLevelType w:val="hybridMultilevel"/>
    <w:tmpl w:val="C29C5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C107B"/>
    <w:multiLevelType w:val="multilevel"/>
    <w:tmpl w:val="F0D0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67ACF"/>
    <w:multiLevelType w:val="multilevel"/>
    <w:tmpl w:val="3FBA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F2D64"/>
    <w:multiLevelType w:val="multilevel"/>
    <w:tmpl w:val="0C2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B812A5"/>
    <w:multiLevelType w:val="hybridMultilevel"/>
    <w:tmpl w:val="FCDADFEC"/>
    <w:lvl w:ilvl="0" w:tplc="FC7A58EE">
      <w:start w:val="1"/>
      <w:numFmt w:val="decimal"/>
      <w:lvlText w:val="%1."/>
      <w:lvlJc w:val="left"/>
      <w:pPr>
        <w:ind w:left="562" w:hanging="456"/>
        <w:jc w:val="right"/>
      </w:pPr>
      <w:rPr>
        <w:rFonts w:ascii="Cambria" w:eastAsia="Cambria" w:hAnsi="Cambria" w:cs="Cambria" w:hint="default"/>
        <w:b/>
        <w:bCs/>
        <w:spacing w:val="-4"/>
        <w:w w:val="103"/>
        <w:sz w:val="32"/>
        <w:szCs w:val="32"/>
        <w:lang w:val="en-US" w:eastAsia="en-US" w:bidi="ar-SA"/>
      </w:rPr>
    </w:lvl>
    <w:lvl w:ilvl="1" w:tplc="0A46796C">
      <w:start w:val="1"/>
      <w:numFmt w:val="upperLetter"/>
      <w:lvlText w:val="%2."/>
      <w:lvlJc w:val="left"/>
      <w:pPr>
        <w:ind w:left="922" w:hanging="361"/>
      </w:pPr>
      <w:rPr>
        <w:rFonts w:ascii="Cambria" w:eastAsia="Cambria" w:hAnsi="Cambria" w:cs="Cambria" w:hint="default"/>
        <w:b/>
        <w:bCs/>
        <w:w w:val="98"/>
        <w:sz w:val="30"/>
        <w:szCs w:val="30"/>
        <w:lang w:val="en-US" w:eastAsia="en-US" w:bidi="ar-SA"/>
      </w:rPr>
    </w:lvl>
    <w:lvl w:ilvl="2" w:tplc="BDDAC5E0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ar-SA"/>
      </w:rPr>
    </w:lvl>
    <w:lvl w:ilvl="3" w:tplc="BBC29C64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4" w:tplc="233400A8"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5" w:tplc="797E336A">
      <w:numFmt w:val="bullet"/>
      <w:lvlText w:val="•"/>
      <w:lvlJc w:val="left"/>
      <w:pPr>
        <w:ind w:left="5266" w:hanging="361"/>
      </w:pPr>
      <w:rPr>
        <w:rFonts w:hint="default"/>
        <w:lang w:val="en-US" w:eastAsia="en-US" w:bidi="ar-SA"/>
      </w:rPr>
    </w:lvl>
    <w:lvl w:ilvl="6" w:tplc="E8466124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7" w:tplc="05CCCC58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8" w:tplc="C54224D4">
      <w:numFmt w:val="bullet"/>
      <w:lvlText w:val="•"/>
      <w:lvlJc w:val="left"/>
      <w:pPr>
        <w:ind w:left="8526" w:hanging="361"/>
      </w:pPr>
      <w:rPr>
        <w:rFonts w:hint="default"/>
        <w:lang w:val="en-US" w:eastAsia="en-US" w:bidi="ar-SA"/>
      </w:rPr>
    </w:lvl>
  </w:abstractNum>
  <w:abstractNum w:abstractNumId="7">
    <w:nsid w:val="38FC5441"/>
    <w:multiLevelType w:val="multilevel"/>
    <w:tmpl w:val="FA30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E6FB3"/>
    <w:multiLevelType w:val="multilevel"/>
    <w:tmpl w:val="D30C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E3FAA"/>
    <w:multiLevelType w:val="hybridMultilevel"/>
    <w:tmpl w:val="62A84E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E3B66"/>
    <w:multiLevelType w:val="multilevel"/>
    <w:tmpl w:val="EF74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E6E6C"/>
    <w:multiLevelType w:val="hybridMultilevel"/>
    <w:tmpl w:val="3BD4ACBC"/>
    <w:lvl w:ilvl="0" w:tplc="40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2">
    <w:nsid w:val="7FA23B67"/>
    <w:multiLevelType w:val="multilevel"/>
    <w:tmpl w:val="61F8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6221"/>
    <w:rsid w:val="00003BB6"/>
    <w:rsid w:val="00035F10"/>
    <w:rsid w:val="00041620"/>
    <w:rsid w:val="00071791"/>
    <w:rsid w:val="000B1281"/>
    <w:rsid w:val="000D3450"/>
    <w:rsid w:val="000E0E93"/>
    <w:rsid w:val="000E6738"/>
    <w:rsid w:val="001014A3"/>
    <w:rsid w:val="00110482"/>
    <w:rsid w:val="00175941"/>
    <w:rsid w:val="0018268F"/>
    <w:rsid w:val="001939C5"/>
    <w:rsid w:val="001B4E57"/>
    <w:rsid w:val="001C1993"/>
    <w:rsid w:val="001C534D"/>
    <w:rsid w:val="001D75CC"/>
    <w:rsid w:val="00201DE3"/>
    <w:rsid w:val="002442C5"/>
    <w:rsid w:val="00245B48"/>
    <w:rsid w:val="00253D0E"/>
    <w:rsid w:val="0026375C"/>
    <w:rsid w:val="00284189"/>
    <w:rsid w:val="00285705"/>
    <w:rsid w:val="002D6ADC"/>
    <w:rsid w:val="002E2D69"/>
    <w:rsid w:val="003036FA"/>
    <w:rsid w:val="003175E3"/>
    <w:rsid w:val="00323399"/>
    <w:rsid w:val="00364A1E"/>
    <w:rsid w:val="00367501"/>
    <w:rsid w:val="003C7D7C"/>
    <w:rsid w:val="00427315"/>
    <w:rsid w:val="00474DDB"/>
    <w:rsid w:val="00481840"/>
    <w:rsid w:val="004B5049"/>
    <w:rsid w:val="004D792C"/>
    <w:rsid w:val="004E731D"/>
    <w:rsid w:val="004F247C"/>
    <w:rsid w:val="00514285"/>
    <w:rsid w:val="00524583"/>
    <w:rsid w:val="0053255A"/>
    <w:rsid w:val="005474A9"/>
    <w:rsid w:val="00552F24"/>
    <w:rsid w:val="00560A64"/>
    <w:rsid w:val="00567B84"/>
    <w:rsid w:val="005743F9"/>
    <w:rsid w:val="00592149"/>
    <w:rsid w:val="005A532A"/>
    <w:rsid w:val="005B0C5D"/>
    <w:rsid w:val="005C3E63"/>
    <w:rsid w:val="005D7AFD"/>
    <w:rsid w:val="005E3C49"/>
    <w:rsid w:val="005E5ACE"/>
    <w:rsid w:val="00657C69"/>
    <w:rsid w:val="00676343"/>
    <w:rsid w:val="006A343B"/>
    <w:rsid w:val="006C0D0E"/>
    <w:rsid w:val="006D2D88"/>
    <w:rsid w:val="006D5944"/>
    <w:rsid w:val="00725CC8"/>
    <w:rsid w:val="00734B5C"/>
    <w:rsid w:val="0075549B"/>
    <w:rsid w:val="00766645"/>
    <w:rsid w:val="007708CB"/>
    <w:rsid w:val="00785415"/>
    <w:rsid w:val="00797A6B"/>
    <w:rsid w:val="007A683F"/>
    <w:rsid w:val="007C7DD5"/>
    <w:rsid w:val="00801D96"/>
    <w:rsid w:val="00830CE6"/>
    <w:rsid w:val="00842E90"/>
    <w:rsid w:val="00886782"/>
    <w:rsid w:val="008A5381"/>
    <w:rsid w:val="009073FE"/>
    <w:rsid w:val="00913514"/>
    <w:rsid w:val="00927C59"/>
    <w:rsid w:val="009349BB"/>
    <w:rsid w:val="00975C32"/>
    <w:rsid w:val="009823DC"/>
    <w:rsid w:val="00986DF7"/>
    <w:rsid w:val="00996B97"/>
    <w:rsid w:val="009E491E"/>
    <w:rsid w:val="009F114A"/>
    <w:rsid w:val="009F4066"/>
    <w:rsid w:val="00A330CE"/>
    <w:rsid w:val="00A4417A"/>
    <w:rsid w:val="00A748EA"/>
    <w:rsid w:val="00A92042"/>
    <w:rsid w:val="00A94CEC"/>
    <w:rsid w:val="00AA6221"/>
    <w:rsid w:val="00AB3BF4"/>
    <w:rsid w:val="00AC21B5"/>
    <w:rsid w:val="00AC2B84"/>
    <w:rsid w:val="00AD4297"/>
    <w:rsid w:val="00B00BB5"/>
    <w:rsid w:val="00B25064"/>
    <w:rsid w:val="00B96B0F"/>
    <w:rsid w:val="00BA6E8B"/>
    <w:rsid w:val="00BD33A8"/>
    <w:rsid w:val="00CB20C0"/>
    <w:rsid w:val="00CB4096"/>
    <w:rsid w:val="00CD2297"/>
    <w:rsid w:val="00CF3510"/>
    <w:rsid w:val="00D12CF5"/>
    <w:rsid w:val="00D26444"/>
    <w:rsid w:val="00D3013D"/>
    <w:rsid w:val="00D46909"/>
    <w:rsid w:val="00D7244C"/>
    <w:rsid w:val="00D74EC1"/>
    <w:rsid w:val="00D8364E"/>
    <w:rsid w:val="00D84EBB"/>
    <w:rsid w:val="00D87427"/>
    <w:rsid w:val="00DA3A4F"/>
    <w:rsid w:val="00DB23C5"/>
    <w:rsid w:val="00DB490A"/>
    <w:rsid w:val="00DC3DC4"/>
    <w:rsid w:val="00DC3E1A"/>
    <w:rsid w:val="00DD2B51"/>
    <w:rsid w:val="00DE0F21"/>
    <w:rsid w:val="00DE393C"/>
    <w:rsid w:val="00DE4FA6"/>
    <w:rsid w:val="00DF4098"/>
    <w:rsid w:val="00E23C12"/>
    <w:rsid w:val="00E40EFA"/>
    <w:rsid w:val="00E52153"/>
    <w:rsid w:val="00E53095"/>
    <w:rsid w:val="00E61B10"/>
    <w:rsid w:val="00E71460"/>
    <w:rsid w:val="00E90DB7"/>
    <w:rsid w:val="00EC1DB7"/>
    <w:rsid w:val="00EF5D63"/>
    <w:rsid w:val="00F07A98"/>
    <w:rsid w:val="00F34D52"/>
    <w:rsid w:val="00F51272"/>
    <w:rsid w:val="00F5275D"/>
    <w:rsid w:val="00F548DB"/>
    <w:rsid w:val="00F62988"/>
    <w:rsid w:val="00F9039A"/>
    <w:rsid w:val="00FB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B6"/>
  </w:style>
  <w:style w:type="paragraph" w:styleId="Heading1">
    <w:name w:val="heading 1"/>
    <w:basedOn w:val="Normal"/>
    <w:link w:val="Heading1Char"/>
    <w:uiPriority w:val="1"/>
    <w:qFormat/>
    <w:rsid w:val="006C0D0E"/>
    <w:pPr>
      <w:widowControl w:val="0"/>
      <w:autoSpaceDE w:val="0"/>
      <w:autoSpaceDN w:val="0"/>
      <w:spacing w:after="0" w:line="240" w:lineRule="auto"/>
      <w:ind w:left="667" w:right="756" w:hanging="567"/>
      <w:jc w:val="both"/>
      <w:outlineLvl w:val="0"/>
    </w:pPr>
    <w:rPr>
      <w:rFonts w:ascii="Cambria" w:eastAsia="Cambria" w:hAnsi="Cambria" w:cs="Cambria"/>
      <w:b/>
      <w:bCs/>
      <w:sz w:val="32"/>
      <w:szCs w:val="3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B51"/>
    <w:pPr>
      <w:ind w:left="720"/>
      <w:contextualSpacing/>
    </w:pPr>
  </w:style>
  <w:style w:type="table" w:styleId="TableGrid">
    <w:name w:val="Table Grid"/>
    <w:basedOn w:val="TableNormal"/>
    <w:uiPriority w:val="59"/>
    <w:rsid w:val="00755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A3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442C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30"/>
      <w:szCs w:val="3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442C5"/>
    <w:rPr>
      <w:rFonts w:ascii="Cambria" w:eastAsia="Cambria" w:hAnsi="Cambria" w:cs="Cambria"/>
      <w:sz w:val="30"/>
      <w:szCs w:val="30"/>
      <w:lang w:val="en-US" w:eastAsia="en-US" w:bidi="ar-SA"/>
    </w:rPr>
  </w:style>
  <w:style w:type="paragraph" w:styleId="Title">
    <w:name w:val="Title"/>
    <w:basedOn w:val="Normal"/>
    <w:link w:val="TitleChar"/>
    <w:uiPriority w:val="1"/>
    <w:qFormat/>
    <w:rsid w:val="00DE393C"/>
    <w:pPr>
      <w:widowControl w:val="0"/>
      <w:autoSpaceDE w:val="0"/>
      <w:autoSpaceDN w:val="0"/>
      <w:spacing w:before="100" w:after="0" w:line="240" w:lineRule="auto"/>
      <w:ind w:left="1954" w:right="2323" w:firstLine="528"/>
    </w:pPr>
    <w:rPr>
      <w:rFonts w:ascii="Cambria" w:eastAsia="Cambria" w:hAnsi="Cambria" w:cs="Cambria"/>
      <w:b/>
      <w:bCs/>
      <w:sz w:val="36"/>
      <w:szCs w:val="36"/>
      <w:u w:val="single" w:color="00000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DE393C"/>
    <w:rPr>
      <w:rFonts w:ascii="Cambria" w:eastAsia="Cambria" w:hAnsi="Cambria" w:cs="Cambria"/>
      <w:b/>
      <w:bCs/>
      <w:sz w:val="36"/>
      <w:szCs w:val="36"/>
      <w:u w:val="single" w:color="00000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6C0D0E"/>
    <w:rPr>
      <w:rFonts w:ascii="Cambria" w:eastAsia="Cambria" w:hAnsi="Cambria" w:cs="Cambria"/>
      <w:b/>
      <w:bCs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C2B84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C2B8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C2B84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C2B84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2020-11-27 13:53:48</KDate>
  <Classification>BSE - PUBLIC</Classification>
  <HostName>BSEF24ED004</HostName>
  <Domain_User>BSELTD/prashant.sindhwad</Domain_User>
  <IPAdd>10.228.9.4</IPAdd>
  <FilePath>C:\Users\prashant.sindhwad\Desktop\Annexure A.docx</FilePath>
  <KID>A4AE11164683637420820285748176</KID>
  <UniqueName/>
  <Suggested/>
  <Justification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0DE2-596A-409B-ADDA-59C22A3122AE}">
  <ds:schemaRefs/>
</ds:datastoreItem>
</file>

<file path=customXml/itemProps2.xml><?xml version="1.0" encoding="utf-8"?>
<ds:datastoreItem xmlns:ds="http://schemas.openxmlformats.org/officeDocument/2006/customXml" ds:itemID="{1A1D9411-A2AB-45D2-A176-5A67F926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STEEL</cp:lastModifiedBy>
  <cp:revision>2</cp:revision>
  <dcterms:created xsi:type="dcterms:W3CDTF">2020-11-28T04:41:00Z</dcterms:created>
  <dcterms:modified xsi:type="dcterms:W3CDTF">2020-11-28T04:41:00Z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BSE - PUBLIC</vt:lpwstr>
  </property>
  <property fmtid="{D5CDD505-2E9C-101B-9397-08002B2CF9AE}" pid="3" name="Rules">
    <vt:lpwstr/>
  </property>
  <property fmtid="{D5CDD505-2E9C-101B-9397-08002B2CF9AE}" pid="4" name="KID">
    <vt:lpwstr>A4AE11164683637420820285748176</vt:lpwstr>
  </property>
</Properties>
</file>